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FA62" w14:textId="33A2DB95" w:rsidR="00145544" w:rsidRPr="003E4FC0" w:rsidRDefault="00145544" w:rsidP="001D3D73">
      <w:pPr>
        <w:jc w:val="both"/>
        <w:rPr>
          <w:rFonts w:ascii="Rockwell" w:hAnsi="Rockwell"/>
          <w:sz w:val="20"/>
          <w:szCs w:val="20"/>
        </w:rPr>
      </w:pPr>
      <w:r w:rsidRPr="003E4FC0">
        <w:rPr>
          <w:rFonts w:ascii="Rockwell" w:hAnsi="Rockwell"/>
          <w:sz w:val="20"/>
          <w:szCs w:val="20"/>
        </w:rPr>
        <w:t>13 September 2023</w:t>
      </w:r>
    </w:p>
    <w:p w14:paraId="59401E44" w14:textId="0C0BE58A" w:rsidR="00145544" w:rsidRPr="003E4FC0" w:rsidRDefault="00145544" w:rsidP="003E4FC0">
      <w:pPr>
        <w:jc w:val="both"/>
        <w:rPr>
          <w:rFonts w:ascii="Rockwell" w:hAnsi="Rockwell"/>
          <w:sz w:val="20"/>
          <w:szCs w:val="20"/>
        </w:rPr>
      </w:pPr>
      <w:r w:rsidRPr="003E4FC0">
        <w:rPr>
          <w:rFonts w:ascii="Rockwell" w:hAnsi="Rockwell"/>
          <w:sz w:val="20"/>
          <w:szCs w:val="20"/>
        </w:rPr>
        <w:t>Dear Parents,</w:t>
      </w:r>
    </w:p>
    <w:p w14:paraId="53BFE97F" w14:textId="2060F204" w:rsidR="001D3D73" w:rsidRPr="003E4FC0" w:rsidRDefault="001D3D73" w:rsidP="003E4FC0">
      <w:pPr>
        <w:jc w:val="both"/>
        <w:rPr>
          <w:rFonts w:ascii="Segoe UI" w:hAnsi="Segoe UI" w:cs="Segoe UI"/>
          <w:color w:val="374151"/>
          <w:sz w:val="20"/>
          <w:szCs w:val="20"/>
          <w:shd w:val="clear" w:color="auto" w:fill="F7F7F8"/>
        </w:rPr>
      </w:pPr>
      <w:r w:rsidRPr="003E4FC0">
        <w:rPr>
          <w:rFonts w:ascii="Rockwell" w:hAnsi="Rockwell"/>
          <w:sz w:val="20"/>
          <w:szCs w:val="20"/>
        </w:rPr>
        <w:t xml:space="preserve">School discipline is paramount for student success. Adhering to rules fosters an environment conducive to learning. Structure and order cultivate focus, ensuring students maximize their potential. Success isn't just about talent; discipline bridges the gap between aspiration and achievement. </w:t>
      </w:r>
      <w:r w:rsidRPr="003E4FC0">
        <w:rPr>
          <w:rFonts w:ascii="Rockwell" w:hAnsi="Rockwell"/>
          <w:sz w:val="20"/>
          <w:szCs w:val="20"/>
        </w:rPr>
        <w:t>If students r</w:t>
      </w:r>
      <w:r w:rsidRPr="003E4FC0">
        <w:rPr>
          <w:rFonts w:ascii="Rockwell" w:hAnsi="Rockwell"/>
          <w:sz w:val="20"/>
          <w:szCs w:val="20"/>
        </w:rPr>
        <w:t xml:space="preserve">espect the rules, </w:t>
      </w:r>
      <w:r w:rsidRPr="003E4FC0">
        <w:rPr>
          <w:rFonts w:ascii="Rockwell" w:hAnsi="Rockwell"/>
          <w:sz w:val="20"/>
          <w:szCs w:val="20"/>
        </w:rPr>
        <w:t xml:space="preserve">they will </w:t>
      </w:r>
      <w:r w:rsidRPr="003E4FC0">
        <w:rPr>
          <w:rFonts w:ascii="Rockwell" w:hAnsi="Rockwell"/>
          <w:sz w:val="20"/>
          <w:szCs w:val="20"/>
        </w:rPr>
        <w:t>reap the rewards.</w:t>
      </w:r>
      <w:r w:rsidRPr="003E4FC0">
        <w:rPr>
          <w:rFonts w:ascii="Rockwell" w:hAnsi="Rockwell"/>
          <w:sz w:val="20"/>
          <w:szCs w:val="20"/>
        </w:rPr>
        <w:t xml:space="preserve"> </w:t>
      </w:r>
      <w:r w:rsidRPr="003E4FC0">
        <w:rPr>
          <w:rFonts w:ascii="Rockwell" w:hAnsi="Rockwell"/>
          <w:sz w:val="20"/>
          <w:szCs w:val="20"/>
        </w:rPr>
        <w:t>Conversely, students who choose not to adhere to the policies should understand that consequences will ensue. It's vital to remain vigilant and maintain discipline scores within acceptable bounds. Non-compliance not only affects personal growth but also the overall learning</w:t>
      </w:r>
      <w:r w:rsidRPr="003E4FC0">
        <w:rPr>
          <w:rFonts w:ascii="Segoe UI" w:hAnsi="Segoe UI" w:cs="Segoe UI"/>
          <w:color w:val="374151"/>
          <w:sz w:val="20"/>
          <w:szCs w:val="20"/>
          <w:shd w:val="clear" w:color="auto" w:fill="F7F7F8"/>
        </w:rPr>
        <w:t xml:space="preserve"> </w:t>
      </w:r>
      <w:r w:rsidRPr="003E4FC0">
        <w:rPr>
          <w:rFonts w:ascii="Rockwell" w:hAnsi="Rockwell"/>
          <w:sz w:val="20"/>
          <w:szCs w:val="20"/>
        </w:rPr>
        <w:t>environment.</w:t>
      </w:r>
    </w:p>
    <w:p w14:paraId="3D369D88" w14:textId="21B910A2" w:rsidR="00145544" w:rsidRPr="003E4FC0" w:rsidRDefault="00145544" w:rsidP="003E4FC0">
      <w:pPr>
        <w:jc w:val="both"/>
        <w:rPr>
          <w:rFonts w:ascii="Rockwell" w:hAnsi="Rockwell"/>
          <w:b/>
          <w:bCs/>
          <w:sz w:val="20"/>
          <w:szCs w:val="20"/>
        </w:rPr>
      </w:pPr>
      <w:r w:rsidRPr="003E4FC0">
        <w:rPr>
          <w:rFonts w:ascii="Rockwell" w:hAnsi="Rockwell"/>
          <w:b/>
          <w:bCs/>
          <w:sz w:val="20"/>
          <w:szCs w:val="20"/>
        </w:rPr>
        <w:t xml:space="preserve">PRESENTING: THE PRIMARY EXTRAVAGANZA! </w:t>
      </w:r>
    </w:p>
    <w:p w14:paraId="422745A9" w14:textId="577DBDC2" w:rsidR="00145544" w:rsidRPr="003E4FC0" w:rsidRDefault="00145544" w:rsidP="003E4FC0">
      <w:pPr>
        <w:jc w:val="both"/>
        <w:rPr>
          <w:rFonts w:ascii="Rockwell" w:hAnsi="Rockwell"/>
          <w:sz w:val="20"/>
          <w:szCs w:val="20"/>
        </w:rPr>
      </w:pPr>
      <w:r w:rsidRPr="003E4FC0">
        <w:rPr>
          <w:rFonts w:ascii="Rockwell" w:hAnsi="Rockwell"/>
          <w:sz w:val="20"/>
          <w:szCs w:val="20"/>
        </w:rPr>
        <w:t xml:space="preserve">Join us in a celebration of our primary students' </w:t>
      </w:r>
      <w:r w:rsidR="001D3D73" w:rsidRPr="003E4FC0">
        <w:rPr>
          <w:rFonts w:ascii="Rockwell" w:hAnsi="Rockwell"/>
          <w:sz w:val="20"/>
          <w:szCs w:val="20"/>
        </w:rPr>
        <w:t>talents and creativity</w:t>
      </w:r>
      <w:r w:rsidRPr="003E4FC0">
        <w:rPr>
          <w:rFonts w:ascii="Rockwell" w:hAnsi="Rockwell"/>
          <w:sz w:val="20"/>
          <w:szCs w:val="20"/>
        </w:rPr>
        <w:t xml:space="preserve">. </w:t>
      </w:r>
      <w:r w:rsidR="001D3D73" w:rsidRPr="003E4FC0">
        <w:rPr>
          <w:rFonts w:ascii="Rockwell" w:hAnsi="Rockwell"/>
          <w:sz w:val="20"/>
          <w:szCs w:val="20"/>
        </w:rPr>
        <w:t>You will b</w:t>
      </w:r>
      <w:r w:rsidRPr="003E4FC0">
        <w:rPr>
          <w:rFonts w:ascii="Rockwell" w:hAnsi="Rockwell"/>
          <w:sz w:val="20"/>
          <w:szCs w:val="20"/>
        </w:rPr>
        <w:t>e enchanted by a range of captivating performances - from rhythmic dances and harmonious choruses to compelling dramatic acts.</w:t>
      </w:r>
    </w:p>
    <w:p w14:paraId="662DF8FE" w14:textId="77777777" w:rsidR="00145544" w:rsidRPr="003E4FC0" w:rsidRDefault="00145544" w:rsidP="003E4FC0">
      <w:pPr>
        <w:jc w:val="both"/>
        <w:rPr>
          <w:rFonts w:ascii="Rockwell" w:hAnsi="Rockwell"/>
          <w:sz w:val="20"/>
          <w:szCs w:val="20"/>
        </w:rPr>
      </w:pPr>
      <w:r w:rsidRPr="003E4FC0">
        <w:rPr>
          <w:rFonts w:ascii="Rockwell" w:hAnsi="Rockwell"/>
          <w:sz w:val="20"/>
          <w:szCs w:val="20"/>
        </w:rPr>
        <w:t>When? Thursday, September 21, 6:00 p.m. - 8:00 p.m.</w:t>
      </w:r>
    </w:p>
    <w:p w14:paraId="340689D1" w14:textId="77777777" w:rsidR="00145544" w:rsidRPr="003E4FC0" w:rsidRDefault="00145544" w:rsidP="003E4FC0">
      <w:pPr>
        <w:jc w:val="both"/>
        <w:rPr>
          <w:rFonts w:ascii="Segoe UI Symbol" w:hAnsi="Segoe UI Symbol" w:cs="Segoe UI Symbol"/>
          <w:sz w:val="20"/>
          <w:szCs w:val="20"/>
        </w:rPr>
      </w:pPr>
      <w:r w:rsidRPr="003E4FC0">
        <w:rPr>
          <w:rFonts w:ascii="Rockwell" w:hAnsi="Rockwell"/>
          <w:sz w:val="20"/>
          <w:szCs w:val="20"/>
        </w:rPr>
        <w:t xml:space="preserve">Where? Rita Flynn Indoor Complex </w:t>
      </w:r>
    </w:p>
    <w:p w14:paraId="6BA08071" w14:textId="0941953A" w:rsidR="00145544" w:rsidRPr="003E4FC0" w:rsidRDefault="00145544" w:rsidP="003E4FC0">
      <w:pPr>
        <w:jc w:val="both"/>
        <w:rPr>
          <w:rFonts w:ascii="Rockwell" w:hAnsi="Rockwell"/>
          <w:sz w:val="20"/>
          <w:szCs w:val="20"/>
        </w:rPr>
      </w:pPr>
      <w:r w:rsidRPr="003E4FC0">
        <w:rPr>
          <w:rFonts w:ascii="Rockwell" w:hAnsi="Rockwell"/>
          <w:sz w:val="20"/>
          <w:szCs w:val="20"/>
        </w:rPr>
        <w:t>Tickets: Available at the school office for just K10.</w:t>
      </w:r>
    </w:p>
    <w:p w14:paraId="63C73B73" w14:textId="5B45A879" w:rsidR="00145544" w:rsidRPr="003E4FC0" w:rsidRDefault="00145544" w:rsidP="003E4FC0">
      <w:pPr>
        <w:jc w:val="both"/>
        <w:rPr>
          <w:rFonts w:ascii="Rockwell" w:hAnsi="Rockwell"/>
          <w:sz w:val="20"/>
          <w:szCs w:val="20"/>
        </w:rPr>
      </w:pPr>
      <w:r w:rsidRPr="003E4FC0">
        <w:rPr>
          <w:rFonts w:ascii="Rockwell" w:hAnsi="Rockwell"/>
          <w:sz w:val="20"/>
          <w:szCs w:val="20"/>
        </w:rPr>
        <w:t xml:space="preserve">Students will have a comprehensive rehearsal at the venue </w:t>
      </w:r>
      <w:r w:rsidR="003B2293" w:rsidRPr="003E4FC0">
        <w:rPr>
          <w:rFonts w:ascii="Rockwell" w:hAnsi="Rockwell"/>
          <w:sz w:val="20"/>
          <w:szCs w:val="20"/>
        </w:rPr>
        <w:t xml:space="preserve">from 12:00 p.m. to 3:00 </w:t>
      </w:r>
      <w:r w:rsidR="003B2293" w:rsidRPr="003E4FC0">
        <w:rPr>
          <w:rFonts w:ascii="Rockwell" w:hAnsi="Rockwell"/>
          <w:sz w:val="20"/>
          <w:szCs w:val="20"/>
        </w:rPr>
        <w:t xml:space="preserve">p.m. </w:t>
      </w:r>
      <w:r w:rsidRPr="003E4FC0">
        <w:rPr>
          <w:rFonts w:ascii="Rockwell" w:hAnsi="Rockwell"/>
          <w:sz w:val="20"/>
          <w:szCs w:val="20"/>
        </w:rPr>
        <w:t>on Wednesday, September 20</w:t>
      </w:r>
      <w:r w:rsidR="003B2293" w:rsidRPr="003E4FC0">
        <w:rPr>
          <w:rFonts w:ascii="Rockwell" w:hAnsi="Rockwell"/>
          <w:sz w:val="20"/>
          <w:szCs w:val="20"/>
        </w:rPr>
        <w:t xml:space="preserve">. </w:t>
      </w:r>
      <w:r w:rsidRPr="003E4FC0">
        <w:rPr>
          <w:rFonts w:ascii="Rockwell" w:hAnsi="Rockwell"/>
          <w:sz w:val="20"/>
          <w:szCs w:val="20"/>
        </w:rPr>
        <w:t>Don't miss out on this showcase of young talent</w:t>
      </w:r>
      <w:r w:rsidRPr="003E4FC0">
        <w:rPr>
          <w:rFonts w:ascii="Rockwell" w:hAnsi="Rockwell"/>
          <w:sz w:val="20"/>
          <w:szCs w:val="20"/>
        </w:rPr>
        <w:t>s</w:t>
      </w:r>
      <w:r w:rsidRPr="003E4FC0">
        <w:rPr>
          <w:rFonts w:ascii="Rockwell" w:hAnsi="Rockwell"/>
          <w:sz w:val="20"/>
          <w:szCs w:val="20"/>
        </w:rPr>
        <w:t xml:space="preserve">! Your presence will make this evening </w:t>
      </w:r>
      <w:r w:rsidR="001655E5" w:rsidRPr="003E4FC0">
        <w:rPr>
          <w:rFonts w:ascii="Rockwell" w:hAnsi="Rockwell"/>
          <w:sz w:val="20"/>
          <w:szCs w:val="20"/>
        </w:rPr>
        <w:t>even more</w:t>
      </w:r>
      <w:r w:rsidRPr="003E4FC0">
        <w:rPr>
          <w:rFonts w:ascii="Rockwell" w:hAnsi="Rockwell"/>
          <w:sz w:val="20"/>
          <w:szCs w:val="20"/>
        </w:rPr>
        <w:t xml:space="preserve"> memorable.</w:t>
      </w:r>
    </w:p>
    <w:p w14:paraId="6089ABD9" w14:textId="4968D8A2" w:rsidR="001655E5" w:rsidRPr="003E4FC0" w:rsidRDefault="001655E5" w:rsidP="003E4FC0">
      <w:pPr>
        <w:jc w:val="both"/>
        <w:rPr>
          <w:rFonts w:ascii="Rockwell" w:hAnsi="Rockwell"/>
          <w:b/>
          <w:bCs/>
          <w:sz w:val="20"/>
          <w:szCs w:val="20"/>
        </w:rPr>
      </w:pPr>
      <w:bookmarkStart w:id="0" w:name="_Hlk145402221"/>
      <w:r w:rsidRPr="003E4FC0">
        <w:rPr>
          <w:rFonts w:ascii="Rockwell" w:hAnsi="Rockwell"/>
          <w:b/>
          <w:bCs/>
          <w:sz w:val="20"/>
          <w:szCs w:val="20"/>
        </w:rPr>
        <w:t>INDEPENDENCE UNVEILED: A SYMPHONY OF THE UNITY IN DIVERSITY!</w:t>
      </w:r>
    </w:p>
    <w:p w14:paraId="3D110875" w14:textId="2AEBC9F8" w:rsidR="001655E5" w:rsidRPr="003E4FC0" w:rsidRDefault="001655E5" w:rsidP="003E4FC0">
      <w:pPr>
        <w:jc w:val="both"/>
        <w:rPr>
          <w:rFonts w:ascii="Rockwell" w:hAnsi="Rockwell"/>
          <w:sz w:val="20"/>
          <w:szCs w:val="20"/>
        </w:rPr>
      </w:pPr>
      <w:r w:rsidRPr="003E4FC0">
        <w:rPr>
          <w:rFonts w:ascii="Rockwell" w:hAnsi="Rockwell"/>
          <w:sz w:val="20"/>
          <w:szCs w:val="20"/>
        </w:rPr>
        <w:t>In celebration of Independence Day, our school is thrilled to present a week-long Cultural Dance Showcase. Our dedicated students have been preparing for this event for the past month.</w:t>
      </w:r>
      <w:r w:rsidRPr="003E4FC0">
        <w:rPr>
          <w:rFonts w:ascii="Rockwell" w:hAnsi="Rockwell"/>
          <w:sz w:val="20"/>
          <w:szCs w:val="20"/>
        </w:rPr>
        <w:t xml:space="preserve"> </w:t>
      </w:r>
      <w:r w:rsidRPr="003E4FC0">
        <w:rPr>
          <w:rFonts w:ascii="Rockwell" w:hAnsi="Rockwell"/>
          <w:sz w:val="20"/>
          <w:szCs w:val="20"/>
        </w:rPr>
        <w:t>The program is as follows:</w:t>
      </w:r>
    </w:p>
    <w:tbl>
      <w:tblPr>
        <w:tblStyle w:val="TableGrid"/>
        <w:tblW w:w="10341" w:type="dxa"/>
        <w:jc w:val="center"/>
        <w:tblLayout w:type="fixed"/>
        <w:tblLook w:val="04A0" w:firstRow="1" w:lastRow="0" w:firstColumn="1" w:lastColumn="0" w:noHBand="0" w:noVBand="1"/>
      </w:tblPr>
      <w:tblGrid>
        <w:gridCol w:w="1159"/>
        <w:gridCol w:w="1127"/>
        <w:gridCol w:w="1823"/>
        <w:gridCol w:w="2108"/>
        <w:gridCol w:w="1897"/>
        <w:gridCol w:w="2227"/>
      </w:tblGrid>
      <w:tr w:rsidR="001655E5" w:rsidRPr="003E4FC0" w14:paraId="3C5B402D" w14:textId="77777777" w:rsidTr="003B2293">
        <w:trPr>
          <w:trHeight w:val="280"/>
          <w:jc w:val="center"/>
        </w:trPr>
        <w:tc>
          <w:tcPr>
            <w:tcW w:w="1159" w:type="dxa"/>
            <w:shd w:val="clear" w:color="auto" w:fill="C4BC96"/>
            <w:vAlign w:val="center"/>
          </w:tcPr>
          <w:p w14:paraId="517E3609" w14:textId="77777777" w:rsidR="001655E5" w:rsidRPr="003E4FC0" w:rsidRDefault="001655E5" w:rsidP="003B2293">
            <w:pPr>
              <w:jc w:val="center"/>
              <w:rPr>
                <w:rFonts w:ascii="Rockwell" w:eastAsia="Calibri" w:hAnsi="Rockwell" w:cs="Times New Roman"/>
                <w:b/>
                <w:sz w:val="20"/>
                <w:szCs w:val="20"/>
                <w14:ligatures w14:val="none"/>
              </w:rPr>
            </w:pPr>
          </w:p>
        </w:tc>
        <w:tc>
          <w:tcPr>
            <w:tcW w:w="1127" w:type="dxa"/>
            <w:shd w:val="clear" w:color="auto" w:fill="C4BC96"/>
            <w:vAlign w:val="center"/>
          </w:tcPr>
          <w:p w14:paraId="71EBE6AF" w14:textId="77777777" w:rsidR="001655E5" w:rsidRPr="003E4FC0" w:rsidRDefault="001655E5" w:rsidP="003B2293">
            <w:pPr>
              <w:jc w:val="center"/>
              <w:rPr>
                <w:rFonts w:ascii="Rockwell" w:eastAsia="Calibri" w:hAnsi="Rockwell" w:cs="Times New Roman"/>
                <w:b/>
                <w:sz w:val="20"/>
                <w:szCs w:val="20"/>
                <w14:ligatures w14:val="none"/>
              </w:rPr>
            </w:pPr>
          </w:p>
        </w:tc>
        <w:tc>
          <w:tcPr>
            <w:tcW w:w="1823" w:type="dxa"/>
            <w:shd w:val="clear" w:color="auto" w:fill="C4BC96"/>
            <w:vAlign w:val="center"/>
          </w:tcPr>
          <w:p w14:paraId="55818B31"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MONDAY</w:t>
            </w:r>
          </w:p>
          <w:p w14:paraId="01FDCB9A" w14:textId="14FBA605"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Sep 18</w:t>
            </w:r>
          </w:p>
        </w:tc>
        <w:tc>
          <w:tcPr>
            <w:tcW w:w="2108" w:type="dxa"/>
            <w:shd w:val="clear" w:color="auto" w:fill="C4BC96"/>
            <w:vAlign w:val="center"/>
          </w:tcPr>
          <w:p w14:paraId="0BA046E1"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TUESDAY</w:t>
            </w:r>
          </w:p>
          <w:p w14:paraId="00788886" w14:textId="0CD58590"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Sep 19</w:t>
            </w:r>
          </w:p>
        </w:tc>
        <w:tc>
          <w:tcPr>
            <w:tcW w:w="1897" w:type="dxa"/>
            <w:shd w:val="clear" w:color="auto" w:fill="C4BC96"/>
            <w:vAlign w:val="center"/>
          </w:tcPr>
          <w:p w14:paraId="7FE264D6"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WEDNESDAY</w:t>
            </w:r>
          </w:p>
          <w:p w14:paraId="2B1A2B4A" w14:textId="5748630C"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Sep 20</w:t>
            </w:r>
          </w:p>
        </w:tc>
        <w:tc>
          <w:tcPr>
            <w:tcW w:w="2227" w:type="dxa"/>
            <w:shd w:val="clear" w:color="auto" w:fill="C4BC96"/>
            <w:vAlign w:val="center"/>
          </w:tcPr>
          <w:p w14:paraId="72C0B625"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THURSDAY</w:t>
            </w:r>
          </w:p>
          <w:p w14:paraId="25FB7F9C" w14:textId="4BE5EF93"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Sep 21</w:t>
            </w:r>
          </w:p>
        </w:tc>
      </w:tr>
      <w:tr w:rsidR="001655E5" w:rsidRPr="003E4FC0" w14:paraId="2B4A8B82" w14:textId="77777777" w:rsidTr="003B2293">
        <w:trPr>
          <w:trHeight w:val="521"/>
          <w:jc w:val="center"/>
        </w:trPr>
        <w:tc>
          <w:tcPr>
            <w:tcW w:w="1159" w:type="dxa"/>
            <w:shd w:val="clear" w:color="auto" w:fill="C4BC96"/>
            <w:vAlign w:val="center"/>
          </w:tcPr>
          <w:p w14:paraId="13B9DEE5" w14:textId="311B6674"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TIME</w:t>
            </w:r>
          </w:p>
        </w:tc>
        <w:tc>
          <w:tcPr>
            <w:tcW w:w="1127" w:type="dxa"/>
            <w:vAlign w:val="center"/>
          </w:tcPr>
          <w:p w14:paraId="5CA8BF92" w14:textId="77777777" w:rsidR="001655E5" w:rsidRPr="003E4FC0" w:rsidRDefault="001655E5" w:rsidP="003B2293">
            <w:pPr>
              <w:jc w:val="center"/>
              <w:rPr>
                <w:rFonts w:ascii="Rockwell" w:eastAsia="Calibri" w:hAnsi="Rockwell" w:cs="Times New Roman"/>
                <w:b/>
                <w:sz w:val="20"/>
                <w:szCs w:val="20"/>
                <w14:ligatures w14:val="none"/>
              </w:rPr>
            </w:pPr>
          </w:p>
        </w:tc>
        <w:tc>
          <w:tcPr>
            <w:tcW w:w="1823" w:type="dxa"/>
            <w:vAlign w:val="center"/>
          </w:tcPr>
          <w:p w14:paraId="50CA2FB6" w14:textId="77777777" w:rsidR="001655E5" w:rsidRPr="003E4FC0" w:rsidRDefault="001655E5" w:rsidP="003B2293">
            <w:pPr>
              <w:jc w:val="center"/>
              <w:rPr>
                <w:rFonts w:ascii="Rockwell" w:eastAsia="Calibri" w:hAnsi="Rockwell" w:cs="Times New Roman"/>
                <w:b/>
                <w:sz w:val="20"/>
                <w:szCs w:val="20"/>
                <w14:ligatures w14:val="none"/>
              </w:rPr>
            </w:pPr>
          </w:p>
          <w:p w14:paraId="779533A1"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MOMASE</w:t>
            </w:r>
          </w:p>
          <w:p w14:paraId="31EA9183" w14:textId="77777777" w:rsidR="001655E5" w:rsidRPr="003E4FC0" w:rsidRDefault="001655E5" w:rsidP="003B2293">
            <w:pPr>
              <w:jc w:val="center"/>
              <w:rPr>
                <w:rFonts w:ascii="Rockwell" w:eastAsia="Calibri" w:hAnsi="Rockwell" w:cs="Times New Roman"/>
                <w:b/>
                <w:sz w:val="20"/>
                <w:szCs w:val="20"/>
                <w14:ligatures w14:val="none"/>
              </w:rPr>
            </w:pPr>
          </w:p>
        </w:tc>
        <w:tc>
          <w:tcPr>
            <w:tcW w:w="2108" w:type="dxa"/>
            <w:vAlign w:val="center"/>
          </w:tcPr>
          <w:p w14:paraId="0EDD2955" w14:textId="77777777" w:rsidR="001655E5" w:rsidRPr="003E4FC0" w:rsidRDefault="001655E5" w:rsidP="003B2293">
            <w:pPr>
              <w:jc w:val="center"/>
              <w:rPr>
                <w:rFonts w:ascii="Rockwell" w:eastAsia="Calibri" w:hAnsi="Rockwell" w:cs="Times New Roman"/>
                <w:b/>
                <w:sz w:val="20"/>
                <w:szCs w:val="20"/>
                <w14:ligatures w14:val="none"/>
              </w:rPr>
            </w:pPr>
          </w:p>
          <w:p w14:paraId="55875414"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SOUTHERN</w:t>
            </w:r>
          </w:p>
          <w:p w14:paraId="43B177EE" w14:textId="77777777" w:rsidR="001655E5" w:rsidRPr="003E4FC0" w:rsidRDefault="001655E5" w:rsidP="003B2293">
            <w:pPr>
              <w:jc w:val="center"/>
              <w:rPr>
                <w:rFonts w:ascii="Rockwell" w:eastAsia="Calibri" w:hAnsi="Rockwell" w:cs="Times New Roman"/>
                <w:b/>
                <w:sz w:val="20"/>
                <w:szCs w:val="20"/>
                <w14:ligatures w14:val="none"/>
              </w:rPr>
            </w:pPr>
          </w:p>
        </w:tc>
        <w:tc>
          <w:tcPr>
            <w:tcW w:w="1897" w:type="dxa"/>
            <w:vAlign w:val="center"/>
          </w:tcPr>
          <w:p w14:paraId="0A52B82F" w14:textId="3C5AC3B1"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NEW</w:t>
            </w:r>
            <w:r w:rsidR="003B2293" w:rsidRPr="003E4FC0">
              <w:rPr>
                <w:rFonts w:ascii="Rockwell" w:eastAsia="Calibri" w:hAnsi="Rockwell" w:cs="Times New Roman"/>
                <w:b/>
                <w:sz w:val="20"/>
                <w:szCs w:val="20"/>
                <w14:ligatures w14:val="none"/>
              </w:rPr>
              <w:t xml:space="preserve"> </w:t>
            </w:r>
            <w:r w:rsidRPr="003E4FC0">
              <w:rPr>
                <w:rFonts w:ascii="Rockwell" w:eastAsia="Calibri" w:hAnsi="Rockwell" w:cs="Times New Roman"/>
                <w:b/>
                <w:sz w:val="20"/>
                <w:szCs w:val="20"/>
                <w14:ligatures w14:val="none"/>
              </w:rPr>
              <w:t>GUINEA ISLANDS</w:t>
            </w:r>
          </w:p>
        </w:tc>
        <w:tc>
          <w:tcPr>
            <w:tcW w:w="2227" w:type="dxa"/>
            <w:vAlign w:val="center"/>
          </w:tcPr>
          <w:p w14:paraId="2270AAEF" w14:textId="77777777" w:rsidR="001655E5" w:rsidRPr="003E4FC0" w:rsidRDefault="001655E5" w:rsidP="003B2293">
            <w:pPr>
              <w:jc w:val="center"/>
              <w:rPr>
                <w:rFonts w:ascii="Rockwell" w:eastAsia="Calibri" w:hAnsi="Rockwell" w:cs="Times New Roman"/>
                <w:b/>
                <w:sz w:val="20"/>
                <w:szCs w:val="20"/>
                <w14:ligatures w14:val="none"/>
              </w:rPr>
            </w:pPr>
          </w:p>
          <w:p w14:paraId="575A4DB7"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INTERNATIONAL</w:t>
            </w:r>
          </w:p>
          <w:p w14:paraId="3E645CD7" w14:textId="77777777" w:rsidR="001655E5" w:rsidRPr="003E4FC0" w:rsidRDefault="001655E5" w:rsidP="003B2293">
            <w:pPr>
              <w:jc w:val="center"/>
              <w:rPr>
                <w:rFonts w:ascii="Rockwell" w:eastAsia="Calibri" w:hAnsi="Rockwell" w:cs="Times New Roman"/>
                <w:b/>
                <w:sz w:val="20"/>
                <w:szCs w:val="20"/>
                <w14:ligatures w14:val="none"/>
              </w:rPr>
            </w:pPr>
          </w:p>
        </w:tc>
      </w:tr>
      <w:tr w:rsidR="001655E5" w:rsidRPr="003E4FC0" w14:paraId="6FF958CB" w14:textId="77777777" w:rsidTr="003B2293">
        <w:trPr>
          <w:trHeight w:val="629"/>
          <w:jc w:val="center"/>
        </w:trPr>
        <w:tc>
          <w:tcPr>
            <w:tcW w:w="1159" w:type="dxa"/>
            <w:shd w:val="clear" w:color="auto" w:fill="C4BC96"/>
            <w:vAlign w:val="center"/>
          </w:tcPr>
          <w:p w14:paraId="65D6C72D"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13:00</w:t>
            </w:r>
          </w:p>
          <w:p w14:paraId="7BA3F817"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to</w:t>
            </w:r>
          </w:p>
          <w:p w14:paraId="5C717607"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13:20</w:t>
            </w:r>
          </w:p>
        </w:tc>
        <w:tc>
          <w:tcPr>
            <w:tcW w:w="1127" w:type="dxa"/>
            <w:vAlign w:val="center"/>
          </w:tcPr>
          <w:p w14:paraId="07C9C523"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Dance 1</w:t>
            </w:r>
          </w:p>
        </w:tc>
        <w:tc>
          <w:tcPr>
            <w:tcW w:w="1823" w:type="dxa"/>
            <w:vAlign w:val="center"/>
          </w:tcPr>
          <w:p w14:paraId="629C73FA" w14:textId="0696745E" w:rsidR="001655E5" w:rsidRPr="003E4FC0" w:rsidRDefault="001655E5" w:rsidP="003B2293">
            <w:pPr>
              <w:jc w:val="center"/>
              <w:rPr>
                <w:rFonts w:ascii="Rockwell" w:eastAsia="Calibri" w:hAnsi="Rockwell" w:cs="Times New Roman"/>
                <w:bCs/>
                <w:sz w:val="20"/>
                <w:szCs w:val="20"/>
                <w14:ligatures w14:val="none"/>
              </w:rPr>
            </w:pPr>
            <w:proofErr w:type="spellStart"/>
            <w:r w:rsidRPr="003E4FC0">
              <w:rPr>
                <w:rFonts w:ascii="Rockwell" w:eastAsia="Calibri" w:hAnsi="Rockwell" w:cs="Times New Roman"/>
                <w:bCs/>
                <w:sz w:val="20"/>
                <w:szCs w:val="20"/>
                <w14:ligatures w14:val="none"/>
              </w:rPr>
              <w:t>Yapuakin</w:t>
            </w:r>
            <w:proofErr w:type="spellEnd"/>
            <w:r w:rsidR="003B2293" w:rsidRPr="003E4FC0">
              <w:rPr>
                <w:rFonts w:ascii="Rockwell" w:eastAsia="Calibri" w:hAnsi="Rockwell" w:cs="Times New Roman"/>
                <w:bCs/>
                <w:sz w:val="20"/>
                <w:szCs w:val="20"/>
                <w14:ligatures w14:val="none"/>
              </w:rPr>
              <w:t xml:space="preserve"> </w:t>
            </w:r>
            <w:r w:rsidRPr="003E4FC0">
              <w:rPr>
                <w:rFonts w:ascii="Rockwell" w:eastAsia="Calibri" w:hAnsi="Rockwell" w:cs="Times New Roman"/>
                <w:bCs/>
                <w:sz w:val="20"/>
                <w:szCs w:val="20"/>
                <w14:ligatures w14:val="none"/>
              </w:rPr>
              <w:t xml:space="preserve">/ </w:t>
            </w:r>
            <w:proofErr w:type="spellStart"/>
            <w:r w:rsidRPr="003E4FC0">
              <w:rPr>
                <w:rFonts w:ascii="Rockwell" w:eastAsia="Calibri" w:hAnsi="Rockwell" w:cs="Times New Roman"/>
                <w:bCs/>
                <w:sz w:val="20"/>
                <w:szCs w:val="20"/>
                <w14:ligatures w14:val="none"/>
              </w:rPr>
              <w:t>Wandagawi</w:t>
            </w:r>
            <w:proofErr w:type="spellEnd"/>
          </w:p>
        </w:tc>
        <w:tc>
          <w:tcPr>
            <w:tcW w:w="2108" w:type="dxa"/>
            <w:vAlign w:val="center"/>
          </w:tcPr>
          <w:p w14:paraId="271A3ABA"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 xml:space="preserve">Hiri &amp; </w:t>
            </w:r>
            <w:proofErr w:type="spellStart"/>
            <w:r w:rsidRPr="003E4FC0">
              <w:rPr>
                <w:rFonts w:ascii="Rockwell" w:eastAsia="Calibri" w:hAnsi="Rockwell" w:cs="Times New Roman"/>
                <w:bCs/>
                <w:sz w:val="20"/>
                <w:szCs w:val="20"/>
                <w14:ligatures w14:val="none"/>
              </w:rPr>
              <w:t>Abau</w:t>
            </w:r>
            <w:proofErr w:type="spellEnd"/>
          </w:p>
        </w:tc>
        <w:tc>
          <w:tcPr>
            <w:tcW w:w="1897" w:type="dxa"/>
            <w:vAlign w:val="center"/>
          </w:tcPr>
          <w:p w14:paraId="344BC38B"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Tolai</w:t>
            </w:r>
          </w:p>
        </w:tc>
        <w:tc>
          <w:tcPr>
            <w:tcW w:w="2227" w:type="dxa"/>
            <w:vAlign w:val="center"/>
          </w:tcPr>
          <w:p w14:paraId="59997A65" w14:textId="09786F8C" w:rsidR="001655E5" w:rsidRPr="003E4FC0" w:rsidRDefault="001655E5" w:rsidP="003B2293">
            <w:pPr>
              <w:jc w:val="center"/>
              <w:rPr>
                <w:rFonts w:ascii="Rockwell" w:eastAsia="Calibri" w:hAnsi="Rockwell" w:cs="Times New Roman"/>
                <w:bCs/>
                <w:sz w:val="20"/>
                <w:szCs w:val="20"/>
                <w14:ligatures w14:val="none"/>
              </w:rPr>
            </w:pPr>
            <w:proofErr w:type="spellStart"/>
            <w:r w:rsidRPr="003E4FC0">
              <w:rPr>
                <w:rFonts w:ascii="Rockwell" w:eastAsia="Calibri" w:hAnsi="Rockwell" w:cs="Times New Roman"/>
                <w:bCs/>
                <w:sz w:val="20"/>
                <w:szCs w:val="20"/>
                <w14:ligatures w14:val="none"/>
              </w:rPr>
              <w:t>Tinikling</w:t>
            </w:r>
            <w:proofErr w:type="spellEnd"/>
            <w:r w:rsidRPr="003E4FC0">
              <w:rPr>
                <w:rFonts w:ascii="Rockwell" w:eastAsia="Calibri" w:hAnsi="Rockwell" w:cs="Times New Roman"/>
                <w:bCs/>
                <w:sz w:val="20"/>
                <w:szCs w:val="20"/>
                <w14:ligatures w14:val="none"/>
              </w:rPr>
              <w:t>/Burmese/ Carinosa</w:t>
            </w:r>
            <w:r w:rsidRPr="003E4FC0">
              <w:rPr>
                <w:rFonts w:ascii="Rockwell" w:eastAsia="Calibri" w:hAnsi="Rockwell" w:cs="Times New Roman"/>
                <w:bCs/>
                <w:sz w:val="20"/>
                <w:szCs w:val="20"/>
                <w14:ligatures w14:val="none"/>
              </w:rPr>
              <w:t xml:space="preserve"> /Indian</w:t>
            </w:r>
          </w:p>
        </w:tc>
      </w:tr>
      <w:tr w:rsidR="001655E5" w:rsidRPr="003E4FC0" w14:paraId="6B028736" w14:textId="77777777" w:rsidTr="003B2293">
        <w:trPr>
          <w:trHeight w:val="476"/>
          <w:jc w:val="center"/>
        </w:trPr>
        <w:tc>
          <w:tcPr>
            <w:tcW w:w="1159" w:type="dxa"/>
            <w:shd w:val="clear" w:color="auto" w:fill="C4BC96"/>
            <w:vAlign w:val="center"/>
          </w:tcPr>
          <w:p w14:paraId="4BD0575C"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13:20</w:t>
            </w:r>
          </w:p>
          <w:p w14:paraId="12B448C1"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to</w:t>
            </w:r>
          </w:p>
          <w:p w14:paraId="2957CFE8"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13:40</w:t>
            </w:r>
          </w:p>
        </w:tc>
        <w:tc>
          <w:tcPr>
            <w:tcW w:w="1127" w:type="dxa"/>
            <w:vAlign w:val="center"/>
          </w:tcPr>
          <w:p w14:paraId="28CFCF2D" w14:textId="77777777" w:rsidR="001655E5" w:rsidRPr="003E4FC0" w:rsidRDefault="001655E5" w:rsidP="003B2293">
            <w:pPr>
              <w:jc w:val="center"/>
              <w:rPr>
                <w:rFonts w:ascii="Rockwell" w:eastAsia="Calibri" w:hAnsi="Rockwell" w:cs="Times New Roman"/>
                <w:b/>
                <w:sz w:val="20"/>
                <w:szCs w:val="20"/>
                <w14:ligatures w14:val="none"/>
              </w:rPr>
            </w:pPr>
            <w:r w:rsidRPr="003E4FC0">
              <w:rPr>
                <w:rFonts w:ascii="Rockwell" w:eastAsia="Calibri" w:hAnsi="Rockwell" w:cs="Times New Roman"/>
                <w:b/>
                <w:sz w:val="20"/>
                <w:szCs w:val="20"/>
                <w14:ligatures w14:val="none"/>
              </w:rPr>
              <w:t>Dance 2</w:t>
            </w:r>
          </w:p>
        </w:tc>
        <w:tc>
          <w:tcPr>
            <w:tcW w:w="1823" w:type="dxa"/>
            <w:vAlign w:val="center"/>
          </w:tcPr>
          <w:p w14:paraId="474BA74C"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w:t>
            </w:r>
          </w:p>
        </w:tc>
        <w:tc>
          <w:tcPr>
            <w:tcW w:w="2108" w:type="dxa"/>
            <w:vAlign w:val="center"/>
          </w:tcPr>
          <w:p w14:paraId="3C5DE00F"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Engan dance</w:t>
            </w:r>
          </w:p>
        </w:tc>
        <w:tc>
          <w:tcPr>
            <w:tcW w:w="1897" w:type="dxa"/>
            <w:vAlign w:val="center"/>
          </w:tcPr>
          <w:p w14:paraId="786963EE"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Manus</w:t>
            </w:r>
          </w:p>
        </w:tc>
        <w:tc>
          <w:tcPr>
            <w:tcW w:w="2227" w:type="dxa"/>
            <w:vAlign w:val="center"/>
          </w:tcPr>
          <w:p w14:paraId="7E2BA269" w14:textId="77777777" w:rsidR="001655E5" w:rsidRPr="003E4FC0" w:rsidRDefault="001655E5" w:rsidP="003B2293">
            <w:pPr>
              <w:jc w:val="center"/>
              <w:rPr>
                <w:rFonts w:ascii="Rockwell" w:eastAsia="Calibri" w:hAnsi="Rockwell" w:cs="Times New Roman"/>
                <w:bCs/>
                <w:sz w:val="20"/>
                <w:szCs w:val="20"/>
                <w14:ligatures w14:val="none"/>
              </w:rPr>
            </w:pPr>
            <w:r w:rsidRPr="003E4FC0">
              <w:rPr>
                <w:rFonts w:ascii="Rockwell" w:eastAsia="Calibri" w:hAnsi="Rockwell" w:cs="Times New Roman"/>
                <w:bCs/>
                <w:sz w:val="20"/>
                <w:szCs w:val="20"/>
                <w14:ligatures w14:val="none"/>
              </w:rPr>
              <w:t>-</w:t>
            </w:r>
          </w:p>
        </w:tc>
      </w:tr>
    </w:tbl>
    <w:p w14:paraId="29B69FC9" w14:textId="77777777" w:rsidR="001655E5" w:rsidRPr="003E4FC0" w:rsidRDefault="001655E5" w:rsidP="003E4FC0">
      <w:pPr>
        <w:jc w:val="both"/>
        <w:rPr>
          <w:rFonts w:ascii="Rockwell" w:hAnsi="Rockwell"/>
          <w:sz w:val="20"/>
          <w:szCs w:val="20"/>
        </w:rPr>
      </w:pPr>
      <w:r w:rsidRPr="003E4FC0">
        <w:rPr>
          <w:rFonts w:ascii="Rockwell" w:hAnsi="Rockwell"/>
          <w:sz w:val="20"/>
          <w:szCs w:val="20"/>
        </w:rPr>
        <w:t>A few key points:</w:t>
      </w:r>
    </w:p>
    <w:p w14:paraId="5E1CB424" w14:textId="77777777" w:rsidR="001655E5" w:rsidRPr="003E4FC0" w:rsidRDefault="001655E5" w:rsidP="003E4FC0">
      <w:pPr>
        <w:pStyle w:val="ListParagraph"/>
        <w:numPr>
          <w:ilvl w:val="0"/>
          <w:numId w:val="2"/>
        </w:numPr>
        <w:jc w:val="both"/>
        <w:rPr>
          <w:rFonts w:ascii="Rockwell" w:hAnsi="Rockwell"/>
          <w:sz w:val="20"/>
          <w:szCs w:val="20"/>
        </w:rPr>
      </w:pPr>
      <w:r w:rsidRPr="003E4FC0">
        <w:rPr>
          <w:rFonts w:ascii="Rockwell" w:hAnsi="Rockwell"/>
          <w:sz w:val="20"/>
          <w:szCs w:val="20"/>
        </w:rPr>
        <w:t>Only two parents or guardians per family can attend the showcase.</w:t>
      </w:r>
    </w:p>
    <w:p w14:paraId="0E37A5EB" w14:textId="77777777" w:rsidR="001655E5" w:rsidRPr="003E4FC0" w:rsidRDefault="001655E5" w:rsidP="003E4FC0">
      <w:pPr>
        <w:pStyle w:val="ListParagraph"/>
        <w:numPr>
          <w:ilvl w:val="0"/>
          <w:numId w:val="2"/>
        </w:numPr>
        <w:jc w:val="both"/>
        <w:rPr>
          <w:rFonts w:ascii="Rockwell" w:hAnsi="Rockwell"/>
          <w:sz w:val="20"/>
          <w:szCs w:val="20"/>
        </w:rPr>
      </w:pPr>
      <w:r w:rsidRPr="003E4FC0">
        <w:rPr>
          <w:rFonts w:ascii="Rockwell" w:hAnsi="Rockwell"/>
          <w:sz w:val="20"/>
          <w:szCs w:val="20"/>
        </w:rPr>
        <w:t>Participating students are granted a one-day leave to prepare their costumes and makeup.</w:t>
      </w:r>
    </w:p>
    <w:p w14:paraId="07E4DDE0" w14:textId="77777777" w:rsidR="001655E5" w:rsidRPr="003E4FC0" w:rsidRDefault="001655E5" w:rsidP="003E4FC0">
      <w:pPr>
        <w:pStyle w:val="ListParagraph"/>
        <w:numPr>
          <w:ilvl w:val="0"/>
          <w:numId w:val="2"/>
        </w:numPr>
        <w:jc w:val="both"/>
        <w:rPr>
          <w:rFonts w:ascii="Rockwell" w:hAnsi="Rockwell"/>
          <w:sz w:val="20"/>
          <w:szCs w:val="20"/>
        </w:rPr>
      </w:pPr>
      <w:r w:rsidRPr="003E4FC0">
        <w:rPr>
          <w:rFonts w:ascii="Rockwell" w:hAnsi="Rockwell"/>
          <w:sz w:val="20"/>
          <w:szCs w:val="20"/>
        </w:rPr>
        <w:t>After their performance, students are free to return home.</w:t>
      </w:r>
    </w:p>
    <w:p w14:paraId="72208202" w14:textId="6C5C0C33" w:rsidR="001655E5" w:rsidRPr="003905B3" w:rsidRDefault="001655E5" w:rsidP="003E4FC0">
      <w:pPr>
        <w:pStyle w:val="ListParagraph"/>
        <w:numPr>
          <w:ilvl w:val="0"/>
          <w:numId w:val="2"/>
        </w:numPr>
        <w:jc w:val="both"/>
        <w:rPr>
          <w:rFonts w:ascii="Rockwell" w:hAnsi="Rockwell"/>
        </w:rPr>
      </w:pPr>
      <w:r w:rsidRPr="003905B3">
        <w:rPr>
          <w:rFonts w:ascii="Rockwell" w:hAnsi="Rockwell"/>
        </w:rPr>
        <w:t>If your child relies on school transportation, please arrange alternate pick-up and drop-off for that day due to the unique costume and makeup requirements.</w:t>
      </w:r>
    </w:p>
    <w:p w14:paraId="567A570A" w14:textId="77777777" w:rsidR="00AD47D7" w:rsidRPr="003E4FC0" w:rsidRDefault="001655E5" w:rsidP="003E4FC0">
      <w:pPr>
        <w:jc w:val="both"/>
        <w:rPr>
          <w:rFonts w:ascii="Rockwell" w:hAnsi="Rockwell"/>
          <w:sz w:val="20"/>
          <w:szCs w:val="20"/>
        </w:rPr>
      </w:pPr>
      <w:r w:rsidRPr="003E4FC0">
        <w:rPr>
          <w:rFonts w:ascii="Rockwell" w:hAnsi="Rockwell"/>
          <w:sz w:val="20"/>
          <w:szCs w:val="20"/>
        </w:rPr>
        <w:t>Thank you for your understanding and support! We look forward to sharing this special occasion with you.</w:t>
      </w:r>
      <w:bookmarkEnd w:id="0"/>
    </w:p>
    <w:p w14:paraId="25A93DEE" w14:textId="4A666D42" w:rsidR="006C45DC" w:rsidRPr="003E4FC0" w:rsidRDefault="006C45DC" w:rsidP="003E4FC0">
      <w:pPr>
        <w:jc w:val="both"/>
        <w:rPr>
          <w:rFonts w:ascii="Rockwell" w:hAnsi="Rockwell"/>
          <w:sz w:val="20"/>
          <w:szCs w:val="20"/>
        </w:rPr>
      </w:pPr>
      <w:r w:rsidRPr="003E4FC0">
        <w:rPr>
          <w:rFonts w:ascii="Rockwell" w:hAnsi="Rockwell"/>
          <w:b/>
          <w:bCs/>
          <w:sz w:val="20"/>
          <w:szCs w:val="20"/>
        </w:rPr>
        <w:lastRenderedPageBreak/>
        <w:t>TERM 3 REPORT CARDS &amp; UPCOMING HOLIDAY NOTICE</w:t>
      </w:r>
    </w:p>
    <w:p w14:paraId="59611E4A" w14:textId="45D8B51F" w:rsidR="006C45DC" w:rsidRPr="006C45DC" w:rsidRDefault="006C45DC" w:rsidP="003E4FC0">
      <w:pPr>
        <w:jc w:val="both"/>
        <w:rPr>
          <w:rFonts w:ascii="Rockwell" w:hAnsi="Rockwell"/>
          <w:sz w:val="20"/>
          <w:szCs w:val="20"/>
        </w:rPr>
      </w:pPr>
      <w:r w:rsidRPr="006C45DC">
        <w:rPr>
          <w:rFonts w:ascii="Rockwell" w:hAnsi="Rockwell"/>
          <w:sz w:val="20"/>
          <w:szCs w:val="20"/>
        </w:rPr>
        <w:t>Key Dates:</w:t>
      </w:r>
    </w:p>
    <w:p w14:paraId="7DD3D6B8" w14:textId="77777777" w:rsidR="006C45DC" w:rsidRPr="003E4FC0" w:rsidRDefault="006C45DC" w:rsidP="003E4FC0">
      <w:pPr>
        <w:pStyle w:val="ListParagraph"/>
        <w:numPr>
          <w:ilvl w:val="0"/>
          <w:numId w:val="5"/>
        </w:numPr>
        <w:jc w:val="both"/>
        <w:rPr>
          <w:rFonts w:ascii="Rockwell" w:hAnsi="Rockwell"/>
          <w:sz w:val="20"/>
          <w:szCs w:val="20"/>
        </w:rPr>
      </w:pPr>
      <w:r w:rsidRPr="003E4FC0">
        <w:rPr>
          <w:rFonts w:ascii="Rockwell" w:hAnsi="Rockwell"/>
          <w:sz w:val="20"/>
          <w:szCs w:val="20"/>
        </w:rPr>
        <w:t>Friday, September 22: Term 3 Report Cards distribution.</w:t>
      </w:r>
    </w:p>
    <w:p w14:paraId="42E148E1" w14:textId="77777777" w:rsidR="006C45DC" w:rsidRPr="003E4FC0" w:rsidRDefault="006C45DC" w:rsidP="003E4FC0">
      <w:pPr>
        <w:pStyle w:val="ListParagraph"/>
        <w:numPr>
          <w:ilvl w:val="0"/>
          <w:numId w:val="5"/>
        </w:numPr>
        <w:jc w:val="both"/>
        <w:rPr>
          <w:rFonts w:ascii="Rockwell" w:hAnsi="Rockwell"/>
          <w:sz w:val="20"/>
          <w:szCs w:val="20"/>
        </w:rPr>
      </w:pPr>
      <w:r w:rsidRPr="003E4FC0">
        <w:rPr>
          <w:rFonts w:ascii="Rockwell" w:hAnsi="Rockwell"/>
          <w:sz w:val="20"/>
          <w:szCs w:val="20"/>
        </w:rPr>
        <w:t>September 25-29: School holiday break.</w:t>
      </w:r>
    </w:p>
    <w:p w14:paraId="57B5B947" w14:textId="77777777" w:rsidR="006C45DC" w:rsidRPr="003E4FC0" w:rsidRDefault="006C45DC" w:rsidP="003E4FC0">
      <w:pPr>
        <w:pStyle w:val="ListParagraph"/>
        <w:numPr>
          <w:ilvl w:val="0"/>
          <w:numId w:val="5"/>
        </w:numPr>
        <w:jc w:val="both"/>
        <w:rPr>
          <w:rFonts w:ascii="Rockwell" w:hAnsi="Rockwell"/>
          <w:sz w:val="20"/>
          <w:szCs w:val="20"/>
        </w:rPr>
      </w:pPr>
      <w:r w:rsidRPr="003E4FC0">
        <w:rPr>
          <w:rFonts w:ascii="Rockwell" w:hAnsi="Rockwell"/>
          <w:sz w:val="20"/>
          <w:szCs w:val="20"/>
        </w:rPr>
        <w:t>Monday, October 2: Commencement of Term 4.</w:t>
      </w:r>
    </w:p>
    <w:p w14:paraId="67D436BB" w14:textId="77777777" w:rsidR="00EC31D3" w:rsidRPr="003E4FC0" w:rsidRDefault="00EC31D3" w:rsidP="00EC31D3">
      <w:pPr>
        <w:jc w:val="both"/>
        <w:rPr>
          <w:rFonts w:ascii="Segoe UI" w:hAnsi="Segoe UI" w:cs="Segoe UI"/>
          <w:color w:val="374151"/>
          <w:sz w:val="20"/>
          <w:szCs w:val="20"/>
          <w:shd w:val="clear" w:color="auto" w:fill="F7F7F8"/>
        </w:rPr>
      </w:pPr>
      <w:r w:rsidRPr="003E4FC0">
        <w:rPr>
          <w:rFonts w:ascii="Rockwell" w:hAnsi="Rockwell"/>
          <w:sz w:val="20"/>
          <w:szCs w:val="20"/>
        </w:rPr>
        <w:t>Upon reviewing the report card, please take a moment to discuss with your child(ren) potential areas of improvement, ensuring a stronger performance in Term Four</w:t>
      </w:r>
      <w:r w:rsidRPr="003E4FC0">
        <w:rPr>
          <w:rFonts w:ascii="Segoe UI" w:hAnsi="Segoe UI" w:cs="Segoe UI"/>
          <w:color w:val="374151"/>
          <w:sz w:val="20"/>
          <w:szCs w:val="20"/>
          <w:shd w:val="clear" w:color="auto" w:fill="F7F7F8"/>
        </w:rPr>
        <w:t>.</w:t>
      </w:r>
    </w:p>
    <w:p w14:paraId="7191B4F4" w14:textId="4B383541" w:rsidR="006C45DC" w:rsidRPr="006C45DC" w:rsidRDefault="006C45DC" w:rsidP="003E4FC0">
      <w:pPr>
        <w:jc w:val="both"/>
        <w:rPr>
          <w:rFonts w:ascii="Rockwell" w:hAnsi="Rockwell"/>
          <w:sz w:val="20"/>
          <w:szCs w:val="20"/>
        </w:rPr>
      </w:pPr>
      <w:r w:rsidRPr="006C45DC">
        <w:rPr>
          <w:rFonts w:ascii="Rockwell" w:hAnsi="Rockwell"/>
          <w:sz w:val="20"/>
          <w:szCs w:val="20"/>
        </w:rPr>
        <w:t>Special Notes for Exam Preparations:</w:t>
      </w:r>
    </w:p>
    <w:p w14:paraId="7DD7DE83" w14:textId="7CD6E41B" w:rsidR="006C45DC" w:rsidRPr="003E4FC0" w:rsidRDefault="006C45DC" w:rsidP="003E4FC0">
      <w:pPr>
        <w:pStyle w:val="ListParagraph"/>
        <w:numPr>
          <w:ilvl w:val="0"/>
          <w:numId w:val="6"/>
        </w:numPr>
        <w:jc w:val="both"/>
        <w:rPr>
          <w:rFonts w:ascii="Rockwell" w:hAnsi="Rockwell"/>
          <w:sz w:val="20"/>
          <w:szCs w:val="20"/>
        </w:rPr>
      </w:pPr>
      <w:r w:rsidRPr="003E4FC0">
        <w:rPr>
          <w:rFonts w:ascii="Rockwell" w:hAnsi="Rockwell"/>
          <w:sz w:val="20"/>
          <w:szCs w:val="20"/>
        </w:rPr>
        <w:t xml:space="preserve">Grade 12: Students will attend a study camp at </w:t>
      </w:r>
      <w:proofErr w:type="spellStart"/>
      <w:r w:rsidRPr="003E4FC0">
        <w:rPr>
          <w:rFonts w:ascii="Rockwell" w:hAnsi="Rockwell"/>
          <w:sz w:val="20"/>
          <w:szCs w:val="20"/>
        </w:rPr>
        <w:t>Sivarai</w:t>
      </w:r>
      <w:proofErr w:type="spellEnd"/>
      <w:r w:rsidRPr="003E4FC0">
        <w:rPr>
          <w:rFonts w:ascii="Rockwell" w:hAnsi="Rockwell"/>
          <w:sz w:val="20"/>
          <w:szCs w:val="20"/>
        </w:rPr>
        <w:t xml:space="preserve"> </w:t>
      </w:r>
      <w:proofErr w:type="spellStart"/>
      <w:r w:rsidRPr="003E4FC0">
        <w:rPr>
          <w:rFonts w:ascii="Rockwell" w:hAnsi="Rockwell"/>
          <w:sz w:val="20"/>
          <w:szCs w:val="20"/>
        </w:rPr>
        <w:t>Namona</w:t>
      </w:r>
      <w:proofErr w:type="spellEnd"/>
      <w:r w:rsidRPr="003E4FC0">
        <w:rPr>
          <w:rFonts w:ascii="Rockwell" w:hAnsi="Rockwell"/>
          <w:sz w:val="20"/>
          <w:szCs w:val="20"/>
        </w:rPr>
        <w:t xml:space="preserve"> from Sunday, Sep </w:t>
      </w:r>
      <w:r w:rsidR="00AD47D7" w:rsidRPr="003E4FC0">
        <w:rPr>
          <w:rFonts w:ascii="Rockwell" w:hAnsi="Rockwell"/>
          <w:sz w:val="20"/>
          <w:szCs w:val="20"/>
        </w:rPr>
        <w:t>24, to Saturday, Sep 30</w:t>
      </w:r>
      <w:r w:rsidRPr="003E4FC0">
        <w:rPr>
          <w:rFonts w:ascii="Rockwell" w:hAnsi="Rockwell"/>
          <w:sz w:val="20"/>
          <w:szCs w:val="20"/>
        </w:rPr>
        <w:t>.</w:t>
      </w:r>
    </w:p>
    <w:p w14:paraId="5D803AC1" w14:textId="7E86EDD8" w:rsidR="006C45DC" w:rsidRPr="003E4FC0" w:rsidRDefault="006C45DC" w:rsidP="003E4FC0">
      <w:pPr>
        <w:pStyle w:val="ListParagraph"/>
        <w:numPr>
          <w:ilvl w:val="0"/>
          <w:numId w:val="6"/>
        </w:numPr>
        <w:jc w:val="both"/>
        <w:rPr>
          <w:rFonts w:ascii="Rockwell" w:hAnsi="Rockwell"/>
          <w:sz w:val="20"/>
          <w:szCs w:val="20"/>
        </w:rPr>
      </w:pPr>
      <w:r w:rsidRPr="003E4FC0">
        <w:rPr>
          <w:rFonts w:ascii="Rockwell" w:hAnsi="Rockwell"/>
          <w:sz w:val="20"/>
          <w:szCs w:val="20"/>
        </w:rPr>
        <w:t>Grades 10 &amp;</w:t>
      </w:r>
      <w:r w:rsidR="003B2293" w:rsidRPr="003E4FC0">
        <w:rPr>
          <w:rFonts w:ascii="Rockwell" w:hAnsi="Rockwell"/>
          <w:sz w:val="20"/>
          <w:szCs w:val="20"/>
        </w:rPr>
        <w:t xml:space="preserve"> </w:t>
      </w:r>
      <w:r w:rsidRPr="003E4FC0">
        <w:rPr>
          <w:rFonts w:ascii="Rockwell" w:hAnsi="Rockwell"/>
          <w:sz w:val="20"/>
          <w:szCs w:val="20"/>
        </w:rPr>
        <w:t>8: Students will remain on campus for focused study sessions in preparation for their national examinations</w:t>
      </w:r>
      <w:r w:rsidR="00AD47D7" w:rsidRPr="003E4FC0">
        <w:rPr>
          <w:rFonts w:ascii="Rockwell" w:hAnsi="Rockwell"/>
          <w:sz w:val="20"/>
          <w:szCs w:val="20"/>
        </w:rPr>
        <w:t xml:space="preserve"> during the holiday break</w:t>
      </w:r>
      <w:r w:rsidRPr="003E4FC0">
        <w:rPr>
          <w:rFonts w:ascii="Rockwell" w:hAnsi="Rockwell"/>
          <w:sz w:val="20"/>
          <w:szCs w:val="20"/>
        </w:rPr>
        <w:t>.</w:t>
      </w:r>
    </w:p>
    <w:p w14:paraId="337A1460" w14:textId="0052AEF3" w:rsidR="00AD47D7" w:rsidRPr="003E4FC0" w:rsidRDefault="006C45DC" w:rsidP="003E4FC0">
      <w:pPr>
        <w:jc w:val="both"/>
        <w:rPr>
          <w:rFonts w:ascii="Segoe UI" w:hAnsi="Segoe UI" w:cs="Segoe UI"/>
          <w:color w:val="374151"/>
          <w:sz w:val="20"/>
          <w:szCs w:val="20"/>
          <w:shd w:val="clear" w:color="auto" w:fill="F7F7F8"/>
        </w:rPr>
      </w:pPr>
      <w:r w:rsidRPr="006C45DC">
        <w:rPr>
          <w:rFonts w:ascii="Rockwell" w:hAnsi="Rockwell"/>
          <w:sz w:val="20"/>
          <w:szCs w:val="20"/>
        </w:rPr>
        <w:t xml:space="preserve">Stay tuned! A comprehensive program with more details </w:t>
      </w:r>
      <w:r w:rsidR="00DB5E3D">
        <w:rPr>
          <w:rFonts w:ascii="Rockwell" w:hAnsi="Rockwell"/>
          <w:sz w:val="20"/>
          <w:szCs w:val="20"/>
        </w:rPr>
        <w:t xml:space="preserve">for the examined grades </w:t>
      </w:r>
      <w:r w:rsidRPr="006C45DC">
        <w:rPr>
          <w:rFonts w:ascii="Rockwell" w:hAnsi="Rockwell"/>
          <w:sz w:val="20"/>
          <w:szCs w:val="20"/>
        </w:rPr>
        <w:t>will be forwarded to you in the upcoming week.</w:t>
      </w:r>
      <w:r w:rsidR="00AD47D7" w:rsidRPr="003E4FC0">
        <w:rPr>
          <w:rFonts w:ascii="Rockwell" w:hAnsi="Rockwell"/>
          <w:sz w:val="20"/>
          <w:szCs w:val="20"/>
        </w:rPr>
        <w:t xml:space="preserve"> </w:t>
      </w:r>
    </w:p>
    <w:p w14:paraId="75B274C1" w14:textId="6A78B30E" w:rsidR="00AD47D7" w:rsidRPr="00AD47D7" w:rsidRDefault="00AD47D7" w:rsidP="003E4FC0">
      <w:pPr>
        <w:jc w:val="both"/>
        <w:rPr>
          <w:rFonts w:ascii="Rockwell" w:hAnsi="Rockwell"/>
          <w:b/>
          <w:bCs/>
          <w:sz w:val="20"/>
          <w:szCs w:val="20"/>
        </w:rPr>
      </w:pPr>
      <w:r w:rsidRPr="003E4FC0">
        <w:rPr>
          <w:rFonts w:ascii="Rockwell" w:hAnsi="Rockwell"/>
          <w:b/>
          <w:bCs/>
          <w:sz w:val="20"/>
          <w:szCs w:val="20"/>
        </w:rPr>
        <w:t>ENROLLMENT FEE ADVISORY</w:t>
      </w:r>
    </w:p>
    <w:p w14:paraId="5A360586" w14:textId="7F0E5519" w:rsidR="00AD47D7" w:rsidRPr="00AD47D7" w:rsidRDefault="00AD47D7" w:rsidP="003E4FC0">
      <w:pPr>
        <w:jc w:val="both"/>
        <w:rPr>
          <w:rFonts w:ascii="Rockwell" w:hAnsi="Rockwell"/>
          <w:sz w:val="20"/>
          <w:szCs w:val="20"/>
        </w:rPr>
      </w:pPr>
      <w:r w:rsidRPr="00AD47D7">
        <w:rPr>
          <w:rFonts w:ascii="Rockwell" w:hAnsi="Rockwell"/>
          <w:sz w:val="20"/>
          <w:szCs w:val="20"/>
        </w:rPr>
        <w:t>To confirm your child's admission at our institution, please note the mandatory enrollment fee of K300. Here are some essential points regarding this fee:</w:t>
      </w:r>
    </w:p>
    <w:p w14:paraId="657ED7CB" w14:textId="2B22D566" w:rsidR="00AD47D7" w:rsidRPr="003E4FC0" w:rsidRDefault="00AD47D7" w:rsidP="003E4FC0">
      <w:pPr>
        <w:pStyle w:val="ListParagraph"/>
        <w:numPr>
          <w:ilvl w:val="0"/>
          <w:numId w:val="8"/>
        </w:numPr>
        <w:jc w:val="both"/>
        <w:rPr>
          <w:rFonts w:ascii="Rockwell" w:hAnsi="Rockwell"/>
          <w:sz w:val="20"/>
          <w:szCs w:val="20"/>
        </w:rPr>
      </w:pPr>
      <w:r w:rsidRPr="003E4FC0">
        <w:rPr>
          <w:rFonts w:ascii="Rockwell" w:hAnsi="Rockwell"/>
          <w:sz w:val="20"/>
          <w:szCs w:val="20"/>
        </w:rPr>
        <w:t>Tuition Credit: The fee will be deducted from the total annual tuition</w:t>
      </w:r>
      <w:r w:rsidR="003B2293" w:rsidRPr="003E4FC0">
        <w:rPr>
          <w:rFonts w:ascii="Rockwell" w:hAnsi="Rockwell"/>
          <w:sz w:val="20"/>
          <w:szCs w:val="20"/>
        </w:rPr>
        <w:t xml:space="preserve"> fee</w:t>
      </w:r>
      <w:r w:rsidRPr="003E4FC0">
        <w:rPr>
          <w:rFonts w:ascii="Rockwell" w:hAnsi="Rockwell"/>
          <w:sz w:val="20"/>
          <w:szCs w:val="20"/>
        </w:rPr>
        <w:t>.</w:t>
      </w:r>
    </w:p>
    <w:p w14:paraId="4E297916" w14:textId="77777777" w:rsidR="00AD47D7" w:rsidRPr="003E4FC0" w:rsidRDefault="00AD47D7" w:rsidP="003E4FC0">
      <w:pPr>
        <w:pStyle w:val="ListParagraph"/>
        <w:numPr>
          <w:ilvl w:val="0"/>
          <w:numId w:val="8"/>
        </w:numPr>
        <w:jc w:val="both"/>
        <w:rPr>
          <w:rFonts w:ascii="Rockwell" w:hAnsi="Rockwell"/>
          <w:sz w:val="20"/>
          <w:szCs w:val="20"/>
        </w:rPr>
      </w:pPr>
      <w:r w:rsidRPr="003E4FC0">
        <w:rPr>
          <w:rFonts w:ascii="Rockwell" w:hAnsi="Rockwell"/>
          <w:sz w:val="20"/>
          <w:szCs w:val="20"/>
        </w:rPr>
        <w:t>Non-Refundable: Please understand that once the fee is settled, it cannot be refunded.</w:t>
      </w:r>
    </w:p>
    <w:p w14:paraId="281721E0" w14:textId="3405BD90" w:rsidR="00AD47D7" w:rsidRPr="003E4FC0" w:rsidRDefault="00AD47D7" w:rsidP="003E4FC0">
      <w:pPr>
        <w:pStyle w:val="ListParagraph"/>
        <w:numPr>
          <w:ilvl w:val="0"/>
          <w:numId w:val="8"/>
        </w:numPr>
        <w:jc w:val="both"/>
        <w:rPr>
          <w:rFonts w:ascii="Rockwell" w:hAnsi="Rockwell"/>
          <w:sz w:val="20"/>
          <w:szCs w:val="20"/>
        </w:rPr>
      </w:pPr>
      <w:r w:rsidRPr="003E4FC0">
        <w:rPr>
          <w:rFonts w:ascii="Rockwell" w:hAnsi="Rockwell"/>
          <w:sz w:val="20"/>
          <w:szCs w:val="20"/>
        </w:rPr>
        <w:t xml:space="preserve">Deadline Alert: Payments should be wrapped up by October's end. Post this date, we will open </w:t>
      </w:r>
      <w:r w:rsidR="003B2293" w:rsidRPr="003E4FC0">
        <w:rPr>
          <w:rFonts w:ascii="Rockwell" w:hAnsi="Rockwell"/>
          <w:sz w:val="20"/>
          <w:szCs w:val="20"/>
        </w:rPr>
        <w:t>space</w:t>
      </w:r>
      <w:r w:rsidRPr="003E4FC0">
        <w:rPr>
          <w:rFonts w:ascii="Rockwell" w:hAnsi="Rockwell"/>
          <w:sz w:val="20"/>
          <w:szCs w:val="20"/>
        </w:rPr>
        <w:t xml:space="preserve"> to other interested candidates. As an update, we already have 67 enrollments for 2024.</w:t>
      </w:r>
    </w:p>
    <w:p w14:paraId="1A7B62E6" w14:textId="77777777" w:rsidR="00AD47D7" w:rsidRPr="003E4FC0" w:rsidRDefault="00AD47D7" w:rsidP="003E4FC0">
      <w:pPr>
        <w:jc w:val="both"/>
        <w:rPr>
          <w:rFonts w:ascii="Rockwell" w:hAnsi="Rockwell"/>
          <w:sz w:val="20"/>
          <w:szCs w:val="20"/>
        </w:rPr>
      </w:pPr>
      <w:r w:rsidRPr="00AD47D7">
        <w:rPr>
          <w:rFonts w:ascii="Rockwell" w:hAnsi="Rockwell"/>
          <w:sz w:val="20"/>
          <w:szCs w:val="20"/>
        </w:rPr>
        <w:t>For a streamlined admission journey, we encourage timely fee settlement. Remember, you can also benefit from our early bird payment options.</w:t>
      </w:r>
    </w:p>
    <w:p w14:paraId="6BA31E34" w14:textId="1801A266" w:rsidR="00D53594" w:rsidRPr="003E4FC0" w:rsidRDefault="00D53594" w:rsidP="003E4FC0">
      <w:pPr>
        <w:jc w:val="both"/>
        <w:rPr>
          <w:rFonts w:ascii="Rockwell" w:hAnsi="Rockwell"/>
          <w:sz w:val="20"/>
          <w:szCs w:val="20"/>
        </w:rPr>
      </w:pPr>
      <w:r w:rsidRPr="003E4FC0">
        <w:rPr>
          <w:rFonts w:ascii="Rockwell" w:hAnsi="Rockwell"/>
          <w:sz w:val="20"/>
          <w:szCs w:val="20"/>
        </w:rPr>
        <w:t>As we approach the momentous occasion of Papua New Guinea's Independence Day, let us take a moment to reflect on our nation's journey</w:t>
      </w:r>
      <w:r w:rsidR="003E4FC0" w:rsidRPr="003E4FC0">
        <w:rPr>
          <w:rFonts w:ascii="Rockwell" w:hAnsi="Rockwell"/>
          <w:sz w:val="20"/>
          <w:szCs w:val="20"/>
        </w:rPr>
        <w:t xml:space="preserve"> from the past till now</w:t>
      </w:r>
      <w:r w:rsidRPr="003E4FC0">
        <w:rPr>
          <w:rFonts w:ascii="Rockwell" w:hAnsi="Rockwell"/>
          <w:sz w:val="20"/>
          <w:szCs w:val="20"/>
        </w:rPr>
        <w:t>. This day serves as a reminder of our nation's resilience, unity, and vibrant culture. May we continue to instill these values in our children, ensuring they carry forward the pride and progress. Wishing each of you a joyous and meaningful Independence Day celebration.</w:t>
      </w:r>
    </w:p>
    <w:p w14:paraId="31923C3D" w14:textId="16F606B8" w:rsidR="00D53594" w:rsidRPr="003E4FC0" w:rsidRDefault="003E4FC0" w:rsidP="003E4FC0">
      <w:pPr>
        <w:jc w:val="both"/>
        <w:rPr>
          <w:rFonts w:ascii="Rockwell" w:hAnsi="Rockwell"/>
          <w:sz w:val="20"/>
          <w:szCs w:val="20"/>
        </w:rPr>
      </w:pPr>
      <w:r w:rsidRPr="003E4FC0">
        <w:rPr>
          <w:rFonts w:ascii="Rockwell" w:hAnsi="Rockwell"/>
          <w:sz w:val="20"/>
          <w:szCs w:val="20"/>
        </w:rPr>
        <w:t>Best regards,</w:t>
      </w:r>
    </w:p>
    <w:p w14:paraId="5828270A" w14:textId="77777777" w:rsidR="003E4FC0" w:rsidRPr="003E4FC0" w:rsidRDefault="003E4FC0" w:rsidP="003E4FC0">
      <w:pPr>
        <w:jc w:val="both"/>
        <w:rPr>
          <w:rFonts w:ascii="Rockwell" w:hAnsi="Rockwell"/>
          <w:sz w:val="20"/>
          <w:szCs w:val="20"/>
        </w:rPr>
      </w:pPr>
    </w:p>
    <w:p w14:paraId="6B0B4E36" w14:textId="4BFA309F" w:rsidR="003E4FC0" w:rsidRPr="003E4FC0" w:rsidRDefault="003E4FC0" w:rsidP="003E4FC0">
      <w:pPr>
        <w:jc w:val="both"/>
        <w:rPr>
          <w:rFonts w:ascii="Rockwell" w:hAnsi="Rockwell"/>
          <w:sz w:val="20"/>
          <w:szCs w:val="20"/>
        </w:rPr>
      </w:pPr>
      <w:r w:rsidRPr="003E4FC0">
        <w:rPr>
          <w:rFonts w:ascii="Rockwell" w:hAnsi="Rockwell"/>
          <w:sz w:val="20"/>
          <w:szCs w:val="20"/>
        </w:rPr>
        <w:t>Safak DELIISMAIL</w:t>
      </w:r>
    </w:p>
    <w:p w14:paraId="610F80C2" w14:textId="565ED730" w:rsidR="003E4FC0" w:rsidRPr="003E4FC0" w:rsidRDefault="003E4FC0" w:rsidP="00D53594">
      <w:pPr>
        <w:rPr>
          <w:rFonts w:ascii="Rockwell" w:hAnsi="Rockwell"/>
          <w:sz w:val="20"/>
          <w:szCs w:val="20"/>
        </w:rPr>
      </w:pPr>
      <w:r w:rsidRPr="003E4FC0">
        <w:rPr>
          <w:rFonts w:ascii="Rockwell" w:hAnsi="Rockwell"/>
          <w:sz w:val="20"/>
          <w:szCs w:val="20"/>
        </w:rPr>
        <w:t>Principal</w:t>
      </w:r>
    </w:p>
    <w:p w14:paraId="282DAF3C" w14:textId="1C56E0C9" w:rsidR="003E4FC0" w:rsidRPr="00AD47D7" w:rsidRDefault="003E4FC0" w:rsidP="00D53594">
      <w:pPr>
        <w:rPr>
          <w:rFonts w:ascii="Rockwell" w:hAnsi="Rockwell"/>
          <w:sz w:val="20"/>
          <w:szCs w:val="20"/>
        </w:rPr>
      </w:pPr>
      <w:r w:rsidRPr="003E4FC0">
        <w:rPr>
          <w:rFonts w:ascii="Rockwell" w:hAnsi="Rockwell"/>
          <w:sz w:val="20"/>
          <w:szCs w:val="20"/>
        </w:rPr>
        <w:t>“Great schools never stop evolving.”</w:t>
      </w:r>
    </w:p>
    <w:p w14:paraId="01BF0B9C" w14:textId="77777777" w:rsidR="00145544" w:rsidRPr="003E4FC0" w:rsidRDefault="00145544" w:rsidP="001D3D73">
      <w:pPr>
        <w:jc w:val="both"/>
        <w:rPr>
          <w:rFonts w:ascii="Rockwell" w:hAnsi="Rockwell"/>
          <w:sz w:val="20"/>
          <w:szCs w:val="20"/>
        </w:rPr>
      </w:pPr>
    </w:p>
    <w:p w14:paraId="2B2AA0E5" w14:textId="77777777" w:rsidR="00145544" w:rsidRPr="00145544" w:rsidRDefault="00145544" w:rsidP="001D3D73">
      <w:pPr>
        <w:jc w:val="both"/>
        <w:rPr>
          <w:rFonts w:ascii="Rockwell" w:hAnsi="Rockwell"/>
        </w:rPr>
      </w:pPr>
    </w:p>
    <w:sectPr w:rsidR="00145544" w:rsidRPr="00145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361"/>
    <w:multiLevelType w:val="multilevel"/>
    <w:tmpl w:val="74F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77BB0"/>
    <w:multiLevelType w:val="hybridMultilevel"/>
    <w:tmpl w:val="BCAE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A770B"/>
    <w:multiLevelType w:val="multilevel"/>
    <w:tmpl w:val="7C9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52E72"/>
    <w:multiLevelType w:val="hybridMultilevel"/>
    <w:tmpl w:val="62E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F7AF0"/>
    <w:multiLevelType w:val="hybridMultilevel"/>
    <w:tmpl w:val="1492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D1D1B"/>
    <w:multiLevelType w:val="hybridMultilevel"/>
    <w:tmpl w:val="8C8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D219E"/>
    <w:multiLevelType w:val="multilevel"/>
    <w:tmpl w:val="DBA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832342"/>
    <w:multiLevelType w:val="hybridMultilevel"/>
    <w:tmpl w:val="F13E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565806">
    <w:abstractNumId w:val="5"/>
  </w:num>
  <w:num w:numId="2" w16cid:durableId="454255111">
    <w:abstractNumId w:val="3"/>
  </w:num>
  <w:num w:numId="3" w16cid:durableId="1038623973">
    <w:abstractNumId w:val="0"/>
  </w:num>
  <w:num w:numId="4" w16cid:durableId="348024478">
    <w:abstractNumId w:val="2"/>
  </w:num>
  <w:num w:numId="5" w16cid:durableId="1241478928">
    <w:abstractNumId w:val="7"/>
  </w:num>
  <w:num w:numId="6" w16cid:durableId="1188711370">
    <w:abstractNumId w:val="4"/>
  </w:num>
  <w:num w:numId="7" w16cid:durableId="1361398165">
    <w:abstractNumId w:val="6"/>
  </w:num>
  <w:num w:numId="8" w16cid:durableId="115175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2D"/>
    <w:rsid w:val="00145544"/>
    <w:rsid w:val="001655E5"/>
    <w:rsid w:val="001D3D73"/>
    <w:rsid w:val="003B2293"/>
    <w:rsid w:val="003E4FC0"/>
    <w:rsid w:val="006C45DC"/>
    <w:rsid w:val="007D5D2D"/>
    <w:rsid w:val="00AD47D7"/>
    <w:rsid w:val="00D53594"/>
    <w:rsid w:val="00DB5E3D"/>
    <w:rsid w:val="00EC31D3"/>
    <w:rsid w:val="00F2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A849"/>
  <w15:chartTrackingRefBased/>
  <w15:docId w15:val="{B6449727-512F-441E-B0ED-B63C9C6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44"/>
    <w:pPr>
      <w:ind w:left="720"/>
      <w:contextualSpacing/>
    </w:pPr>
  </w:style>
  <w:style w:type="paragraph" w:styleId="NormalWeb">
    <w:name w:val="Normal (Web)"/>
    <w:basedOn w:val="Normal"/>
    <w:uiPriority w:val="99"/>
    <w:semiHidden/>
    <w:unhideWhenUsed/>
    <w:rsid w:val="001455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1655E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998">
      <w:bodyDiv w:val="1"/>
      <w:marLeft w:val="0"/>
      <w:marRight w:val="0"/>
      <w:marTop w:val="0"/>
      <w:marBottom w:val="0"/>
      <w:divBdr>
        <w:top w:val="none" w:sz="0" w:space="0" w:color="auto"/>
        <w:left w:val="none" w:sz="0" w:space="0" w:color="auto"/>
        <w:bottom w:val="none" w:sz="0" w:space="0" w:color="auto"/>
        <w:right w:val="none" w:sz="0" w:space="0" w:color="auto"/>
      </w:divBdr>
    </w:div>
    <w:div w:id="534583412">
      <w:bodyDiv w:val="1"/>
      <w:marLeft w:val="0"/>
      <w:marRight w:val="0"/>
      <w:marTop w:val="0"/>
      <w:marBottom w:val="0"/>
      <w:divBdr>
        <w:top w:val="none" w:sz="0" w:space="0" w:color="auto"/>
        <w:left w:val="none" w:sz="0" w:space="0" w:color="auto"/>
        <w:bottom w:val="none" w:sz="0" w:space="0" w:color="auto"/>
        <w:right w:val="none" w:sz="0" w:space="0" w:color="auto"/>
      </w:divBdr>
    </w:div>
    <w:div w:id="658118881">
      <w:bodyDiv w:val="1"/>
      <w:marLeft w:val="0"/>
      <w:marRight w:val="0"/>
      <w:marTop w:val="0"/>
      <w:marBottom w:val="0"/>
      <w:divBdr>
        <w:top w:val="none" w:sz="0" w:space="0" w:color="auto"/>
        <w:left w:val="none" w:sz="0" w:space="0" w:color="auto"/>
        <w:bottom w:val="none" w:sz="0" w:space="0" w:color="auto"/>
        <w:right w:val="none" w:sz="0" w:space="0" w:color="auto"/>
      </w:divBdr>
    </w:div>
    <w:div w:id="1262450567">
      <w:bodyDiv w:val="1"/>
      <w:marLeft w:val="0"/>
      <w:marRight w:val="0"/>
      <w:marTop w:val="0"/>
      <w:marBottom w:val="0"/>
      <w:divBdr>
        <w:top w:val="none" w:sz="0" w:space="0" w:color="auto"/>
        <w:left w:val="none" w:sz="0" w:space="0" w:color="auto"/>
        <w:bottom w:val="none" w:sz="0" w:space="0" w:color="auto"/>
        <w:right w:val="none" w:sz="0" w:space="0" w:color="auto"/>
      </w:divBdr>
    </w:div>
    <w:div w:id="19062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Deliismail</dc:creator>
  <cp:keywords/>
  <dc:description/>
  <cp:lastModifiedBy>Safak Deliismail</cp:lastModifiedBy>
  <cp:revision>3</cp:revision>
  <cp:lastPrinted>2023-09-13T00:28:00Z</cp:lastPrinted>
  <dcterms:created xsi:type="dcterms:W3CDTF">2023-09-12T23:01:00Z</dcterms:created>
  <dcterms:modified xsi:type="dcterms:W3CDTF">2023-09-13T00:29:00Z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d6c5ecbdd1b83ad7f97bfbd6deebe883674f601960a7f2ed6e992e584d2017b8</vt:lpwstr>
  </property>
</Properties>
</file>